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F99C" w14:textId="77777777" w:rsidR="00941469" w:rsidRDefault="00941469" w:rsidP="00A50182">
      <w:pPr>
        <w:rPr>
          <w:lang w:val="nl-NL"/>
        </w:rPr>
      </w:pPr>
      <w:r>
        <w:rPr>
          <w:b/>
          <w:color w:val="FF0000"/>
          <w:lang w:val="nl-NL"/>
        </w:rPr>
        <w:t xml:space="preserve">WIJZIGINGSFORMULIER </w:t>
      </w:r>
      <w:r w:rsidRPr="003B1584">
        <w:rPr>
          <w:b/>
          <w:color w:val="FF0000"/>
          <w:lang w:val="nl-NL"/>
        </w:rPr>
        <w:t>BELEGGINGSPROFIEL</w:t>
      </w:r>
      <w:r w:rsidR="00796243">
        <w:rPr>
          <w:b/>
          <w:color w:val="FF0000"/>
          <w:lang w:val="nl-NL"/>
        </w:rPr>
        <w:t xml:space="preserve"> ATOS BP</w:t>
      </w:r>
      <w:r>
        <w:rPr>
          <w:b/>
          <w:color w:val="FF0000"/>
          <w:lang w:val="nl-NL"/>
        </w:rPr>
        <w:t xml:space="preserve">                             </w:t>
      </w:r>
    </w:p>
    <w:p w14:paraId="3283F99D" w14:textId="77777777" w:rsidR="00941469" w:rsidRDefault="00941469" w:rsidP="00A50182">
      <w:pPr>
        <w:rPr>
          <w:lang w:val="nl-NL"/>
        </w:rPr>
      </w:pPr>
    </w:p>
    <w:p w14:paraId="3283F99E" w14:textId="77777777" w:rsidR="00282920" w:rsidRDefault="00A50182" w:rsidP="00A50182">
      <w:pPr>
        <w:rPr>
          <w:lang w:val="nl-NL"/>
        </w:rPr>
      </w:pPr>
      <w:r>
        <w:rPr>
          <w:lang w:val="nl-NL"/>
        </w:rPr>
        <w:t>Met dit wijzigingsformulier kun je aangeven naar welk beleg</w:t>
      </w:r>
      <w:r w:rsidR="00F60988">
        <w:rPr>
          <w:lang w:val="nl-NL"/>
        </w:rPr>
        <w:t xml:space="preserve">gingsprofiel je wilt switchen </w:t>
      </w:r>
      <w:r w:rsidR="00CF0BFE">
        <w:rPr>
          <w:lang w:val="nl-NL"/>
        </w:rPr>
        <w:t>(</w:t>
      </w:r>
      <w:r w:rsidR="00F60988">
        <w:rPr>
          <w:lang w:val="nl-NL"/>
        </w:rPr>
        <w:t>z</w:t>
      </w:r>
      <w:r w:rsidR="00282920">
        <w:rPr>
          <w:lang w:val="nl-NL"/>
        </w:rPr>
        <w:t xml:space="preserve">ie </w:t>
      </w:r>
      <w:r w:rsidR="00F60988">
        <w:rPr>
          <w:lang w:val="nl-NL"/>
        </w:rPr>
        <w:t xml:space="preserve">pagina 2 voor </w:t>
      </w:r>
      <w:r w:rsidR="00282920">
        <w:rPr>
          <w:lang w:val="nl-NL"/>
        </w:rPr>
        <w:t>de</w:t>
      </w:r>
      <w:r>
        <w:rPr>
          <w:lang w:val="nl-NL"/>
        </w:rPr>
        <w:t xml:space="preserve"> toelichting</w:t>
      </w:r>
      <w:r w:rsidR="00CF0BFE">
        <w:rPr>
          <w:lang w:val="nl-NL"/>
        </w:rPr>
        <w:t>)</w:t>
      </w:r>
      <w:r w:rsidR="00282920">
        <w:rPr>
          <w:lang w:val="nl-NL"/>
        </w:rPr>
        <w:t>.</w:t>
      </w:r>
    </w:p>
    <w:p w14:paraId="3283F99F" w14:textId="77777777" w:rsidR="00AC534E" w:rsidRPr="004D6B59" w:rsidRDefault="00A50182" w:rsidP="004D6B59">
      <w:pPr>
        <w:pStyle w:val="ListParagraph"/>
        <w:numPr>
          <w:ilvl w:val="0"/>
          <w:numId w:val="1"/>
        </w:numPr>
        <w:rPr>
          <w:lang w:val="nl-NL"/>
        </w:rPr>
      </w:pPr>
      <w:r w:rsidRPr="004D6B59">
        <w:rPr>
          <w:lang w:val="nl-NL"/>
        </w:rPr>
        <w:t>Het standaardbeleggingsprofiel is Life Cycle</w:t>
      </w:r>
      <w:r w:rsidR="00782DE9">
        <w:rPr>
          <w:lang w:val="nl-NL"/>
        </w:rPr>
        <w:t>,</w:t>
      </w:r>
      <w:r w:rsidR="00CF0BFE" w:rsidRPr="004D6B59">
        <w:rPr>
          <w:lang w:val="nl-NL"/>
        </w:rPr>
        <w:t xml:space="preserve"> waarbij je belegg</w:t>
      </w:r>
      <w:r w:rsidR="007A40E8" w:rsidRPr="004D6B59">
        <w:rPr>
          <w:lang w:val="nl-NL"/>
        </w:rPr>
        <w:t xml:space="preserve">ingen volgens een vast schema door het pensioenfonds voor je </w:t>
      </w:r>
      <w:r w:rsidR="00782DE9" w:rsidRPr="004D6B59">
        <w:rPr>
          <w:lang w:val="nl-NL"/>
        </w:rPr>
        <w:t xml:space="preserve">worden </w:t>
      </w:r>
      <w:r w:rsidR="007A40E8" w:rsidRPr="004D6B59">
        <w:rPr>
          <w:lang w:val="nl-NL"/>
        </w:rPr>
        <w:t>belegd</w:t>
      </w:r>
      <w:r w:rsidR="00AC534E" w:rsidRPr="004D6B59">
        <w:rPr>
          <w:lang w:val="nl-NL"/>
        </w:rPr>
        <w:t>.</w:t>
      </w:r>
    </w:p>
    <w:p w14:paraId="3283F9A0" w14:textId="77777777" w:rsidR="004D6B59" w:rsidRPr="004D6B59" w:rsidRDefault="004D6B59" w:rsidP="004D6B59">
      <w:pPr>
        <w:pStyle w:val="ListParagraph"/>
        <w:numPr>
          <w:ilvl w:val="0"/>
          <w:numId w:val="1"/>
        </w:numPr>
        <w:rPr>
          <w:lang w:val="nl-NL"/>
        </w:rPr>
      </w:pPr>
      <w:r w:rsidRPr="004D6B59">
        <w:rPr>
          <w:lang w:val="nl-NL"/>
        </w:rPr>
        <w:t>Indien je overweegt om te kiezen voor doorbeleggen na pensionering met het doel een variabele pensioenuitkering aan te kopen bij een andere pensioenuitvoerder dan Stichting Pensioenfonds Atos, dan kies je voor het beleggingsprofiel Life Cycle Doorbeleggen.</w:t>
      </w:r>
    </w:p>
    <w:p w14:paraId="3283F9A1" w14:textId="77777777" w:rsidR="002012EF" w:rsidRPr="002012EF" w:rsidRDefault="002012EF" w:rsidP="002012EF">
      <w:pPr>
        <w:pStyle w:val="ListParagraph"/>
        <w:numPr>
          <w:ilvl w:val="0"/>
          <w:numId w:val="1"/>
        </w:numPr>
        <w:rPr>
          <w:lang w:val="nl-NL"/>
        </w:rPr>
      </w:pPr>
      <w:r w:rsidRPr="002012EF">
        <w:rPr>
          <w:lang w:val="nl-NL"/>
        </w:rPr>
        <w:t>Als je zelf wilt bepalen hoe je kapitaal verdeeld wordt</w:t>
      </w:r>
      <w:r>
        <w:rPr>
          <w:lang w:val="nl-NL"/>
        </w:rPr>
        <w:t xml:space="preserve"> over de beleggingsfondsen, dan </w:t>
      </w:r>
      <w:r w:rsidRPr="002012EF">
        <w:rPr>
          <w:lang w:val="nl-NL"/>
        </w:rPr>
        <w:t>stap je over</w:t>
      </w:r>
      <w:r>
        <w:rPr>
          <w:lang w:val="nl-NL"/>
        </w:rPr>
        <w:t xml:space="preserve"> </w:t>
      </w:r>
      <w:r w:rsidRPr="002012EF">
        <w:rPr>
          <w:lang w:val="nl-NL"/>
        </w:rPr>
        <w:t>naar het beleggingsprofiel Self Select</w:t>
      </w:r>
      <w:r>
        <w:rPr>
          <w:lang w:val="nl-NL"/>
        </w:rPr>
        <w:t xml:space="preserve">. De waarde van je kapitaal bij </w:t>
      </w:r>
      <w:r w:rsidRPr="002012EF">
        <w:rPr>
          <w:lang w:val="nl-NL"/>
        </w:rPr>
        <w:t>overstap naar Self Select moet</w:t>
      </w:r>
      <w:r>
        <w:rPr>
          <w:lang w:val="nl-NL"/>
        </w:rPr>
        <w:t xml:space="preserve"> </w:t>
      </w:r>
      <w:r w:rsidRPr="002012EF">
        <w:rPr>
          <w:lang w:val="nl-NL"/>
        </w:rPr>
        <w:t>meer zijn dan € 2.27</w:t>
      </w:r>
      <w:r>
        <w:rPr>
          <w:lang w:val="nl-NL"/>
        </w:rPr>
        <w:t xml:space="preserve">0. De waarde van je beleggingen </w:t>
      </w:r>
      <w:r w:rsidRPr="002012EF">
        <w:rPr>
          <w:lang w:val="nl-NL"/>
        </w:rPr>
        <w:t>kun je nazien op je laatste jaaroverzicht.</w:t>
      </w:r>
    </w:p>
    <w:p w14:paraId="3283F9A2" w14:textId="77777777" w:rsidR="00A50182" w:rsidRDefault="00A50182" w:rsidP="00A50182">
      <w:pPr>
        <w:rPr>
          <w:lang w:val="nl-NL"/>
        </w:rPr>
      </w:pPr>
    </w:p>
    <w:p w14:paraId="3283F9A3" w14:textId="37A93022" w:rsidR="00A50182" w:rsidRDefault="007A40E8" w:rsidP="00A50182">
      <w:pPr>
        <w:rPr>
          <w:lang w:val="nl-NL"/>
        </w:rPr>
      </w:pPr>
      <w:r>
        <w:rPr>
          <w:lang w:val="nl-NL"/>
        </w:rPr>
        <w:t>De</w:t>
      </w:r>
      <w:r w:rsidR="00A50182">
        <w:rPr>
          <w:lang w:val="nl-NL"/>
        </w:rPr>
        <w:t xml:space="preserve"> zorgplicht bij individuele pensioenopbouw op beleggingsbasis</w:t>
      </w:r>
      <w:r>
        <w:rPr>
          <w:lang w:val="nl-NL"/>
        </w:rPr>
        <w:t xml:space="preserve"> heeft </w:t>
      </w:r>
      <w:r w:rsidR="00A50182">
        <w:rPr>
          <w:lang w:val="nl-NL"/>
        </w:rPr>
        <w:t xml:space="preserve">als doel de (gewezen) deelnemer te wijzen op de gevolgen van de door de </w:t>
      </w:r>
      <w:r w:rsidR="002012EF">
        <w:rPr>
          <w:lang w:val="nl-NL"/>
        </w:rPr>
        <w:t xml:space="preserve">(gewezen) </w:t>
      </w:r>
      <w:r w:rsidR="00A50182">
        <w:rPr>
          <w:lang w:val="nl-NL"/>
        </w:rPr>
        <w:t>deelnemer genomen beleggingsbeslissing. Kort gezegd moeten beleggingsrisico’s worden beheerst met het oog op de naderende pensioendatum. Deze zorgplicht is van toepassing op het beleggingsprofiel</w:t>
      </w:r>
      <w:r w:rsidR="002F785B" w:rsidRPr="00743449">
        <w:rPr>
          <w:lang w:val="nl-NL"/>
        </w:rPr>
        <w:t xml:space="preserve"> </w:t>
      </w:r>
      <w:r w:rsidR="002F785B" w:rsidRPr="002F785B">
        <w:rPr>
          <w:lang w:val="nl-NL"/>
        </w:rPr>
        <w:t>Life Cycle Doorbeleggen</w:t>
      </w:r>
      <w:r w:rsidR="002F785B">
        <w:rPr>
          <w:lang w:val="nl-NL"/>
        </w:rPr>
        <w:t xml:space="preserve"> en het beleggingsprofiel</w:t>
      </w:r>
      <w:r w:rsidR="00A50182">
        <w:rPr>
          <w:lang w:val="nl-NL"/>
        </w:rPr>
        <w:t xml:space="preserve"> Self Select en omvat onder meer het inwinnen en vastleggen va</w:t>
      </w:r>
      <w:r w:rsidR="002012EF">
        <w:rPr>
          <w:lang w:val="nl-NL"/>
        </w:rPr>
        <w:t xml:space="preserve">n informatie door middel van een </w:t>
      </w:r>
      <w:r w:rsidR="00A50182">
        <w:rPr>
          <w:lang w:val="nl-NL"/>
        </w:rPr>
        <w:t>risicoprofiel. Je risico</w:t>
      </w:r>
      <w:r>
        <w:rPr>
          <w:lang w:val="nl-NL"/>
        </w:rPr>
        <w:t>profiel kun je bepalen door de ‘’V</w:t>
      </w:r>
      <w:r w:rsidR="00A50182">
        <w:rPr>
          <w:lang w:val="nl-NL"/>
        </w:rPr>
        <w:t>ragenlijst risicoprofiel</w:t>
      </w:r>
      <w:r>
        <w:rPr>
          <w:lang w:val="nl-NL"/>
        </w:rPr>
        <w:t>’’</w:t>
      </w:r>
      <w:r w:rsidR="00A50182">
        <w:rPr>
          <w:lang w:val="nl-NL"/>
        </w:rPr>
        <w:t xml:space="preserve"> in te vullen. Voor het maken van een switch</w:t>
      </w:r>
      <w:r w:rsidR="00C80BEC">
        <w:rPr>
          <w:lang w:val="nl-NL"/>
        </w:rPr>
        <w:t xml:space="preserve"> naar het beleggingsprofiel </w:t>
      </w:r>
      <w:r w:rsidR="002F785B" w:rsidRPr="002F785B">
        <w:rPr>
          <w:lang w:val="nl-NL"/>
        </w:rPr>
        <w:t xml:space="preserve">Life Cycle Doorbeleggen </w:t>
      </w:r>
      <w:r w:rsidR="002F785B">
        <w:rPr>
          <w:lang w:val="nl-NL"/>
        </w:rPr>
        <w:t xml:space="preserve">of </w:t>
      </w:r>
      <w:r w:rsidR="00C80BEC">
        <w:rPr>
          <w:lang w:val="nl-NL"/>
        </w:rPr>
        <w:t>Self Select</w:t>
      </w:r>
      <w:r w:rsidR="00A50182">
        <w:rPr>
          <w:lang w:val="nl-NL"/>
        </w:rPr>
        <w:t xml:space="preserve"> ben je verplicht deze vragenlijst in te vullen en mee te sturen. </w:t>
      </w:r>
    </w:p>
    <w:p w14:paraId="3283F9A4" w14:textId="77777777" w:rsidR="00A50182" w:rsidRDefault="00A50182" w:rsidP="00A50182">
      <w:pPr>
        <w:rPr>
          <w:lang w:val="nl-NL"/>
        </w:rPr>
      </w:pPr>
    </w:p>
    <w:p w14:paraId="3283F9A5" w14:textId="77777777" w:rsidR="00A50182" w:rsidRDefault="00A50182" w:rsidP="00A50182">
      <w:pPr>
        <w:rPr>
          <w:lang w:val="nl-NL"/>
        </w:rPr>
      </w:pPr>
      <w:r>
        <w:rPr>
          <w:lang w:val="nl-NL"/>
        </w:rPr>
        <w:t xml:space="preserve">Geef hieronder aan naar welk </w:t>
      </w:r>
      <w:r w:rsidR="002012EF">
        <w:rPr>
          <w:lang w:val="nl-NL"/>
        </w:rPr>
        <w:t>beleggings</w:t>
      </w:r>
      <w:r>
        <w:rPr>
          <w:lang w:val="nl-NL"/>
        </w:rPr>
        <w:t>profiel je wilt overstappen:</w:t>
      </w:r>
    </w:p>
    <w:tbl>
      <w:tblPr>
        <w:tblStyle w:val="TableGrid"/>
        <w:tblW w:w="0" w:type="auto"/>
        <w:tblInd w:w="108" w:type="dxa"/>
        <w:tblLook w:val="01E0" w:firstRow="1" w:lastRow="1" w:firstColumn="1" w:lastColumn="1" w:noHBand="0" w:noVBand="0"/>
      </w:tblPr>
      <w:tblGrid>
        <w:gridCol w:w="4359"/>
        <w:gridCol w:w="4595"/>
      </w:tblGrid>
      <w:tr w:rsidR="00A50182" w:rsidRPr="00C24160" w14:paraId="3283F9A8" w14:textId="77777777" w:rsidTr="005C794F">
        <w:trPr>
          <w:trHeight w:val="279"/>
        </w:trPr>
        <w:tc>
          <w:tcPr>
            <w:tcW w:w="4359" w:type="dxa"/>
          </w:tcPr>
          <w:p w14:paraId="3283F9A6" w14:textId="77777777" w:rsidR="00A50182" w:rsidRPr="00C24160" w:rsidRDefault="00A50182" w:rsidP="00BD5782">
            <w:pPr>
              <w:rPr>
                <w:lang w:val="nl-NL"/>
              </w:rPr>
            </w:pPr>
            <w:r w:rsidRPr="00C24160">
              <w:rPr>
                <w:lang w:val="nl-NL"/>
              </w:rPr>
              <w:t xml:space="preserve">0 </w:t>
            </w:r>
            <w:r w:rsidRPr="00522B31">
              <w:rPr>
                <w:b/>
                <w:lang w:val="nl-NL"/>
              </w:rPr>
              <w:t>Life Cycle</w:t>
            </w:r>
          </w:p>
        </w:tc>
        <w:tc>
          <w:tcPr>
            <w:tcW w:w="4796" w:type="dxa"/>
          </w:tcPr>
          <w:p w14:paraId="3283F9A7" w14:textId="77777777" w:rsidR="00A50182" w:rsidRPr="00C24160" w:rsidRDefault="00A50182" w:rsidP="00BD5782">
            <w:pPr>
              <w:rPr>
                <w:lang w:val="nl-NL"/>
              </w:rPr>
            </w:pPr>
          </w:p>
        </w:tc>
      </w:tr>
      <w:tr w:rsidR="00282920" w:rsidRPr="00C24160" w14:paraId="3283F9AB" w14:textId="77777777" w:rsidTr="005C794F">
        <w:trPr>
          <w:trHeight w:val="279"/>
        </w:trPr>
        <w:tc>
          <w:tcPr>
            <w:tcW w:w="4359" w:type="dxa"/>
          </w:tcPr>
          <w:p w14:paraId="3283F9A9" w14:textId="77777777" w:rsidR="00282920" w:rsidRPr="00C24160" w:rsidRDefault="00282920" w:rsidP="00BD5782">
            <w:pPr>
              <w:rPr>
                <w:lang w:val="nl-NL"/>
              </w:rPr>
            </w:pPr>
            <w:r w:rsidRPr="00C24160">
              <w:rPr>
                <w:lang w:val="nl-NL"/>
              </w:rPr>
              <w:t xml:space="preserve">0 </w:t>
            </w:r>
            <w:r w:rsidRPr="00522B31">
              <w:rPr>
                <w:b/>
                <w:lang w:val="nl-NL"/>
              </w:rPr>
              <w:t>Life Cycle</w:t>
            </w:r>
            <w:r>
              <w:rPr>
                <w:b/>
                <w:lang w:val="nl-NL"/>
              </w:rPr>
              <w:t xml:space="preserve"> Doorbeleggen</w:t>
            </w:r>
          </w:p>
        </w:tc>
        <w:tc>
          <w:tcPr>
            <w:tcW w:w="4796" w:type="dxa"/>
          </w:tcPr>
          <w:p w14:paraId="3283F9AA" w14:textId="77777777" w:rsidR="00282920" w:rsidRPr="00C24160" w:rsidRDefault="00282920" w:rsidP="00BD5782">
            <w:pPr>
              <w:rPr>
                <w:lang w:val="nl-NL"/>
              </w:rPr>
            </w:pPr>
          </w:p>
        </w:tc>
      </w:tr>
      <w:tr w:rsidR="00A50182" w:rsidRPr="006E79B5" w14:paraId="3283F9AD" w14:textId="77777777" w:rsidTr="005C794F">
        <w:trPr>
          <w:trHeight w:val="267"/>
        </w:trPr>
        <w:tc>
          <w:tcPr>
            <w:tcW w:w="9155" w:type="dxa"/>
            <w:gridSpan w:val="2"/>
          </w:tcPr>
          <w:p w14:paraId="3283F9AC" w14:textId="77777777" w:rsidR="00A50182" w:rsidRPr="00C24160" w:rsidRDefault="00A50182" w:rsidP="00BD5782">
            <w:pPr>
              <w:rPr>
                <w:lang w:val="nl-NL"/>
              </w:rPr>
            </w:pPr>
            <w:r w:rsidRPr="00C24160">
              <w:rPr>
                <w:lang w:val="nl-NL"/>
              </w:rPr>
              <w:t xml:space="preserve">0 </w:t>
            </w:r>
            <w:r w:rsidRPr="00522B31">
              <w:rPr>
                <w:b/>
                <w:lang w:val="nl-NL"/>
              </w:rPr>
              <w:t>Self Select</w:t>
            </w:r>
            <w:r w:rsidRPr="00C24160">
              <w:rPr>
                <w:lang w:val="nl-NL"/>
              </w:rPr>
              <w:t xml:space="preserve"> met de volgende verdeling</w:t>
            </w:r>
            <w:r>
              <w:rPr>
                <w:lang w:val="nl-NL"/>
              </w:rPr>
              <w:t>: (</w:t>
            </w:r>
            <w:r w:rsidRPr="00583375">
              <w:rPr>
                <w:sz w:val="20"/>
                <w:szCs w:val="20"/>
                <w:lang w:val="nl-NL"/>
              </w:rPr>
              <w:t>invullen in hele procenten</w:t>
            </w:r>
            <w:r>
              <w:rPr>
                <w:lang w:val="nl-NL"/>
              </w:rPr>
              <w:t>)</w:t>
            </w:r>
          </w:p>
        </w:tc>
      </w:tr>
      <w:tr w:rsidR="00A50182" w:rsidRPr="00282920" w14:paraId="3283F9AF" w14:textId="77777777" w:rsidTr="005C794F">
        <w:trPr>
          <w:trHeight w:val="279"/>
        </w:trPr>
        <w:tc>
          <w:tcPr>
            <w:tcW w:w="9155" w:type="dxa"/>
            <w:gridSpan w:val="2"/>
          </w:tcPr>
          <w:p w14:paraId="3283F9AE" w14:textId="77777777" w:rsidR="00A50182" w:rsidRPr="00C24160" w:rsidRDefault="00282920" w:rsidP="00282920">
            <w:pPr>
              <w:tabs>
                <w:tab w:val="right" w:pos="8640"/>
              </w:tabs>
              <w:rPr>
                <w:lang w:val="nl-NL"/>
              </w:rPr>
            </w:pPr>
            <w:r>
              <w:rPr>
                <w:lang w:val="nl-NL"/>
              </w:rPr>
              <w:t>Aandelenfonds Wereldwijd</w:t>
            </w:r>
            <w:r>
              <w:rPr>
                <w:lang w:val="nl-NL"/>
              </w:rPr>
              <w:tab/>
            </w:r>
            <w:r w:rsidR="00A50182">
              <w:rPr>
                <w:lang w:val="nl-NL"/>
              </w:rPr>
              <w:t>%</w:t>
            </w:r>
          </w:p>
        </w:tc>
      </w:tr>
      <w:tr w:rsidR="00A50182" w:rsidRPr="00282920" w14:paraId="3283F9B1" w14:textId="77777777" w:rsidTr="005C794F">
        <w:trPr>
          <w:trHeight w:val="279"/>
        </w:trPr>
        <w:tc>
          <w:tcPr>
            <w:tcW w:w="9155" w:type="dxa"/>
            <w:gridSpan w:val="2"/>
          </w:tcPr>
          <w:p w14:paraId="3283F9B0" w14:textId="77777777" w:rsidR="00A50182" w:rsidRPr="00C24160" w:rsidRDefault="00A50182" w:rsidP="00282920">
            <w:pPr>
              <w:tabs>
                <w:tab w:val="right" w:pos="8640"/>
              </w:tabs>
              <w:rPr>
                <w:lang w:val="nl-NL"/>
              </w:rPr>
            </w:pPr>
            <w:r w:rsidRPr="00C24160">
              <w:rPr>
                <w:lang w:val="nl-NL"/>
              </w:rPr>
              <w:t>Aandelenfon</w:t>
            </w:r>
            <w:r w:rsidR="00282920">
              <w:rPr>
                <w:lang w:val="nl-NL"/>
              </w:rPr>
              <w:t>d</w:t>
            </w:r>
            <w:r w:rsidR="00654DC7">
              <w:rPr>
                <w:lang w:val="nl-NL"/>
              </w:rPr>
              <w:t>s</w:t>
            </w:r>
            <w:r w:rsidR="00282920">
              <w:rPr>
                <w:lang w:val="nl-NL"/>
              </w:rPr>
              <w:t xml:space="preserve"> Amerika</w:t>
            </w:r>
            <w:r w:rsidR="00282920">
              <w:rPr>
                <w:lang w:val="nl-NL"/>
              </w:rPr>
              <w:tab/>
            </w:r>
            <w:r>
              <w:rPr>
                <w:lang w:val="nl-NL"/>
              </w:rPr>
              <w:t>%</w:t>
            </w:r>
          </w:p>
        </w:tc>
      </w:tr>
      <w:tr w:rsidR="00A50182" w:rsidRPr="00282920" w14:paraId="3283F9B3" w14:textId="77777777" w:rsidTr="005C794F">
        <w:trPr>
          <w:trHeight w:val="279"/>
        </w:trPr>
        <w:tc>
          <w:tcPr>
            <w:tcW w:w="9155" w:type="dxa"/>
            <w:gridSpan w:val="2"/>
          </w:tcPr>
          <w:p w14:paraId="3283F9B2" w14:textId="77777777" w:rsidR="00A50182" w:rsidRPr="00C24160" w:rsidRDefault="00A50182" w:rsidP="00BD5782">
            <w:pPr>
              <w:tabs>
                <w:tab w:val="right" w:pos="8640"/>
              </w:tabs>
              <w:rPr>
                <w:lang w:val="nl-NL"/>
              </w:rPr>
            </w:pPr>
            <w:r w:rsidRPr="00C24160">
              <w:rPr>
                <w:lang w:val="nl-NL"/>
              </w:rPr>
              <w:t>Aandelenfonds Europa</w:t>
            </w:r>
            <w:r w:rsidR="00282920">
              <w:rPr>
                <w:lang w:val="nl-NL"/>
              </w:rPr>
              <w:tab/>
            </w:r>
            <w:r>
              <w:rPr>
                <w:lang w:val="nl-NL"/>
              </w:rPr>
              <w:t>%</w:t>
            </w:r>
          </w:p>
        </w:tc>
      </w:tr>
      <w:tr w:rsidR="00A50182" w:rsidRPr="00282920" w14:paraId="3283F9B5" w14:textId="77777777" w:rsidTr="005C794F">
        <w:trPr>
          <w:trHeight w:val="279"/>
        </w:trPr>
        <w:tc>
          <w:tcPr>
            <w:tcW w:w="9155" w:type="dxa"/>
            <w:gridSpan w:val="2"/>
          </w:tcPr>
          <w:p w14:paraId="3283F9B4" w14:textId="77777777" w:rsidR="00A50182" w:rsidRPr="00C24160" w:rsidRDefault="00A50182" w:rsidP="00BD5782">
            <w:pPr>
              <w:tabs>
                <w:tab w:val="right" w:pos="8640"/>
              </w:tabs>
              <w:rPr>
                <w:lang w:val="nl-NL"/>
              </w:rPr>
            </w:pPr>
            <w:r w:rsidRPr="00C24160">
              <w:rPr>
                <w:lang w:val="nl-NL"/>
              </w:rPr>
              <w:t>Aandelenfonds Emerging Markets</w:t>
            </w:r>
            <w:r>
              <w:rPr>
                <w:lang w:val="nl-NL"/>
              </w:rPr>
              <w:tab/>
              <w:t>%</w:t>
            </w:r>
          </w:p>
        </w:tc>
      </w:tr>
      <w:tr w:rsidR="00A50182" w:rsidRPr="00282920" w14:paraId="3283F9B7" w14:textId="77777777" w:rsidTr="005C794F">
        <w:trPr>
          <w:trHeight w:val="279"/>
        </w:trPr>
        <w:tc>
          <w:tcPr>
            <w:tcW w:w="9155" w:type="dxa"/>
            <w:gridSpan w:val="2"/>
          </w:tcPr>
          <w:p w14:paraId="3283F9B6" w14:textId="77777777" w:rsidR="00A50182" w:rsidRPr="00C24160" w:rsidRDefault="00A50182" w:rsidP="00BD5782">
            <w:pPr>
              <w:tabs>
                <w:tab w:val="right" w:pos="8640"/>
              </w:tabs>
              <w:rPr>
                <w:lang w:val="nl-NL"/>
              </w:rPr>
            </w:pPr>
            <w:r w:rsidRPr="00C24160">
              <w:rPr>
                <w:lang w:val="nl-NL"/>
              </w:rPr>
              <w:t>Obligatiefonds</w:t>
            </w:r>
            <w:r>
              <w:rPr>
                <w:lang w:val="nl-NL"/>
              </w:rPr>
              <w:tab/>
              <w:t>%</w:t>
            </w:r>
          </w:p>
        </w:tc>
      </w:tr>
      <w:tr w:rsidR="00A50182" w:rsidRPr="00282920" w14:paraId="3283F9B9" w14:textId="77777777" w:rsidTr="005C794F">
        <w:trPr>
          <w:trHeight w:val="267"/>
        </w:trPr>
        <w:tc>
          <w:tcPr>
            <w:tcW w:w="9155" w:type="dxa"/>
            <w:gridSpan w:val="2"/>
          </w:tcPr>
          <w:p w14:paraId="3283F9B8" w14:textId="77777777" w:rsidR="00A50182" w:rsidRPr="00C24160" w:rsidRDefault="00A50182" w:rsidP="00BD5782">
            <w:pPr>
              <w:tabs>
                <w:tab w:val="right" w:pos="8640"/>
              </w:tabs>
              <w:rPr>
                <w:lang w:val="nl-NL"/>
              </w:rPr>
            </w:pPr>
            <w:r w:rsidRPr="00C24160">
              <w:rPr>
                <w:lang w:val="nl-NL"/>
              </w:rPr>
              <w:t>Liquiditeitenfonds</w:t>
            </w:r>
            <w:r>
              <w:rPr>
                <w:lang w:val="nl-NL"/>
              </w:rPr>
              <w:tab/>
              <w:t>%</w:t>
            </w:r>
          </w:p>
        </w:tc>
      </w:tr>
      <w:tr w:rsidR="00A50182" w:rsidRPr="00282920" w14:paraId="3283F9BB" w14:textId="77777777" w:rsidTr="005C794F">
        <w:trPr>
          <w:trHeight w:val="279"/>
        </w:trPr>
        <w:tc>
          <w:tcPr>
            <w:tcW w:w="9155" w:type="dxa"/>
            <w:gridSpan w:val="2"/>
          </w:tcPr>
          <w:p w14:paraId="3283F9BA" w14:textId="77777777" w:rsidR="00A50182" w:rsidRPr="00C24160" w:rsidRDefault="00015F42" w:rsidP="005C794F">
            <w:pPr>
              <w:tabs>
                <w:tab w:val="right" w:pos="8640"/>
              </w:tabs>
              <w:rPr>
                <w:lang w:val="nl-NL"/>
              </w:rPr>
            </w:pPr>
            <w:r w:rsidRPr="00015F42">
              <w:rPr>
                <w:b/>
                <w:lang w:val="nl-NL"/>
              </w:rPr>
              <w:t xml:space="preserve">Totaal </w:t>
            </w:r>
            <w:r w:rsidRPr="00015F42">
              <w:rPr>
                <w:b/>
                <w:lang w:val="nl-NL"/>
              </w:rPr>
              <w:tab/>
            </w:r>
            <w:r w:rsidR="00A50182" w:rsidRPr="00452374">
              <w:rPr>
                <w:b/>
                <w:lang w:val="nl-NL"/>
              </w:rPr>
              <w:t>100%</w:t>
            </w:r>
          </w:p>
        </w:tc>
      </w:tr>
    </w:tbl>
    <w:p w14:paraId="3283F9BC" w14:textId="77777777" w:rsidR="005C794F" w:rsidRDefault="005C794F" w:rsidP="00A50182">
      <w:pPr>
        <w:rPr>
          <w:b/>
          <w:color w:val="FF0000"/>
          <w:lang w:val="nl-NL"/>
        </w:rPr>
      </w:pPr>
    </w:p>
    <w:p w14:paraId="3283F9BD" w14:textId="77777777" w:rsidR="00A50182" w:rsidRPr="001168DE" w:rsidRDefault="00A50182" w:rsidP="00A50182">
      <w:pPr>
        <w:rPr>
          <w:b/>
          <w:color w:val="FF0000"/>
          <w:lang w:val="nl-NL"/>
        </w:rPr>
      </w:pPr>
      <w:r w:rsidRPr="001168DE">
        <w:rPr>
          <w:b/>
          <w:color w:val="FF0000"/>
          <w:lang w:val="nl-NL"/>
        </w:rPr>
        <w:t>GEGEVENS MEDEWERKER</w:t>
      </w:r>
    </w:p>
    <w:p w14:paraId="3283F9BE" w14:textId="77777777" w:rsidR="00A50182" w:rsidRDefault="00A50182" w:rsidP="00A50182">
      <w:pPr>
        <w:rPr>
          <w:lang w:val="nl-NL"/>
        </w:rPr>
      </w:pPr>
      <w:r>
        <w:rPr>
          <w:lang w:val="nl-NL"/>
        </w:rPr>
        <w:t>Pensioennummer:</w:t>
      </w:r>
    </w:p>
    <w:p w14:paraId="3283F9BF" w14:textId="77777777" w:rsidR="00A50182" w:rsidRDefault="00A50182" w:rsidP="00A50182">
      <w:pPr>
        <w:rPr>
          <w:lang w:val="nl-NL"/>
        </w:rPr>
      </w:pPr>
      <w:r>
        <w:rPr>
          <w:lang w:val="nl-NL"/>
        </w:rPr>
        <w:t>Achternaam:</w:t>
      </w:r>
    </w:p>
    <w:p w14:paraId="3283F9C0" w14:textId="77777777" w:rsidR="00A50182" w:rsidRDefault="00A50182" w:rsidP="00A50182">
      <w:pPr>
        <w:rPr>
          <w:lang w:val="nl-NL"/>
        </w:rPr>
      </w:pPr>
      <w:r>
        <w:rPr>
          <w:lang w:val="nl-NL"/>
        </w:rPr>
        <w:t>Voorletters:</w:t>
      </w:r>
    </w:p>
    <w:p w14:paraId="3283F9C1" w14:textId="77777777" w:rsidR="00A50182" w:rsidRDefault="00A50182" w:rsidP="00A50182">
      <w:pPr>
        <w:rPr>
          <w:lang w:val="nl-NL"/>
        </w:rPr>
      </w:pPr>
      <w:r>
        <w:rPr>
          <w:lang w:val="nl-NL"/>
        </w:rPr>
        <w:t>Geboortedatum:</w:t>
      </w:r>
    </w:p>
    <w:p w14:paraId="3283F9C2" w14:textId="77777777" w:rsidR="00A50182" w:rsidRDefault="00A50182" w:rsidP="00A50182">
      <w:pPr>
        <w:rPr>
          <w:lang w:val="nl-NL"/>
        </w:rPr>
      </w:pPr>
      <w:r>
        <w:rPr>
          <w:lang w:val="nl-NL"/>
        </w:rPr>
        <w:t>Adres:</w:t>
      </w:r>
    </w:p>
    <w:p w14:paraId="3283F9C3" w14:textId="77777777" w:rsidR="00A50182" w:rsidRDefault="00A50182" w:rsidP="00A50182">
      <w:pPr>
        <w:rPr>
          <w:lang w:val="nl-NL"/>
        </w:rPr>
      </w:pPr>
      <w:r>
        <w:rPr>
          <w:lang w:val="nl-NL"/>
        </w:rPr>
        <w:t>Postcode + woonplaats:</w:t>
      </w:r>
    </w:p>
    <w:p w14:paraId="3283F9C4" w14:textId="77777777" w:rsidR="00A50182" w:rsidRDefault="00A50182" w:rsidP="00A50182">
      <w:pPr>
        <w:rPr>
          <w:lang w:val="nl-NL"/>
        </w:rPr>
      </w:pPr>
    </w:p>
    <w:p w14:paraId="3283F9C5" w14:textId="77777777" w:rsidR="00A50182" w:rsidRDefault="00A50182" w:rsidP="00A50182">
      <w:pPr>
        <w:rPr>
          <w:lang w:val="nl-NL"/>
        </w:rPr>
      </w:pPr>
      <w:r>
        <w:rPr>
          <w:lang w:val="nl-NL"/>
        </w:rPr>
        <w:t xml:space="preserve">Datum: </w:t>
      </w:r>
      <w:r>
        <w:rPr>
          <w:lang w:val="nl-NL"/>
        </w:rPr>
        <w:tab/>
      </w:r>
      <w:r>
        <w:rPr>
          <w:lang w:val="nl-NL"/>
        </w:rPr>
        <w:tab/>
      </w:r>
      <w:r>
        <w:rPr>
          <w:lang w:val="nl-NL"/>
        </w:rPr>
        <w:tab/>
      </w:r>
      <w:r>
        <w:rPr>
          <w:lang w:val="nl-NL"/>
        </w:rPr>
        <w:tab/>
        <w:t>Plaats:</w:t>
      </w:r>
    </w:p>
    <w:p w14:paraId="3283F9C6" w14:textId="77777777" w:rsidR="004D0C59" w:rsidRDefault="004D0C59" w:rsidP="00A50182">
      <w:pPr>
        <w:rPr>
          <w:lang w:val="nl-NL"/>
        </w:rPr>
      </w:pPr>
    </w:p>
    <w:p w14:paraId="3283F9C7" w14:textId="77777777" w:rsidR="00A50182" w:rsidRDefault="00A50182" w:rsidP="00A50182">
      <w:pPr>
        <w:rPr>
          <w:lang w:val="nl-NL"/>
        </w:rPr>
      </w:pPr>
      <w:r>
        <w:rPr>
          <w:lang w:val="nl-NL"/>
        </w:rPr>
        <w:t>Handtekening deelnemer:</w:t>
      </w:r>
    </w:p>
    <w:p w14:paraId="3283F9C8" w14:textId="77777777" w:rsidR="00777857" w:rsidRDefault="00777857" w:rsidP="00A50182">
      <w:pPr>
        <w:rPr>
          <w:lang w:val="nl-NL"/>
        </w:rPr>
      </w:pPr>
    </w:p>
    <w:p w14:paraId="3283F9C9" w14:textId="03B9CA74" w:rsidR="00BD5782" w:rsidRDefault="00A05EF2" w:rsidP="00A50182">
      <w:pPr>
        <w:rPr>
          <w:lang w:val="nl-NL"/>
        </w:rPr>
      </w:pPr>
      <w:r w:rsidRPr="00A05EF2">
        <w:rPr>
          <w:lang w:val="nl-NL"/>
        </w:rPr>
        <w:t>Maak een afdruk van dit wijzigingsformulier en stuur het ingevuld en ondertekend naar</w:t>
      </w:r>
      <w:r w:rsidR="00BD5782">
        <w:rPr>
          <w:lang w:val="nl-NL"/>
        </w:rPr>
        <w:t>:</w:t>
      </w:r>
    </w:p>
    <w:p w14:paraId="099867BC" w14:textId="77777777" w:rsidR="00EB07EB" w:rsidRDefault="00EB07EB" w:rsidP="00A50182">
      <w:pPr>
        <w:rPr>
          <w:lang w:val="nl-NL"/>
        </w:rPr>
      </w:pPr>
    </w:p>
    <w:p w14:paraId="4844FD7F" w14:textId="77777777" w:rsidR="00EB07EB" w:rsidRPr="00EB07EB" w:rsidRDefault="00EB07EB" w:rsidP="00EB07EB">
      <w:pPr>
        <w:pStyle w:val="NormalWeb"/>
        <w:shd w:val="clear" w:color="auto" w:fill="FFFFFF"/>
        <w:spacing w:before="0" w:beforeAutospacing="0" w:after="0" w:afterAutospacing="0" w:line="270" w:lineRule="atLeast"/>
        <w:rPr>
          <w:b/>
          <w:bCs/>
          <w:color w:val="666666"/>
        </w:rPr>
      </w:pPr>
      <w:r w:rsidRPr="00EB07EB">
        <w:rPr>
          <w:b/>
          <w:bCs/>
          <w:color w:val="666666"/>
        </w:rPr>
        <w:t>Achmea Pensioenservices</w:t>
      </w:r>
    </w:p>
    <w:p w14:paraId="19BDBEEA" w14:textId="77777777" w:rsidR="00EB07EB" w:rsidRPr="00EB07EB" w:rsidRDefault="00EB07EB" w:rsidP="00EB07EB">
      <w:pPr>
        <w:pStyle w:val="NormalWeb"/>
        <w:shd w:val="clear" w:color="auto" w:fill="FFFFFF"/>
        <w:spacing w:before="0" w:beforeAutospacing="0" w:after="0" w:afterAutospacing="0" w:line="270" w:lineRule="atLeast"/>
        <w:rPr>
          <w:b/>
          <w:bCs/>
          <w:color w:val="666666"/>
        </w:rPr>
      </w:pPr>
      <w:r w:rsidRPr="00EB07EB">
        <w:rPr>
          <w:b/>
          <w:bCs/>
          <w:color w:val="666666"/>
        </w:rPr>
        <w:t>TSA-KT13 / OPF/Atos</w:t>
      </w:r>
    </w:p>
    <w:p w14:paraId="1F51DF51" w14:textId="77777777" w:rsidR="00EB07EB" w:rsidRPr="00EB07EB" w:rsidRDefault="00EB07EB" w:rsidP="00EB07EB">
      <w:pPr>
        <w:pStyle w:val="NormalWeb"/>
        <w:shd w:val="clear" w:color="auto" w:fill="FFFFFF"/>
        <w:spacing w:before="0" w:beforeAutospacing="0" w:after="0" w:afterAutospacing="0" w:line="270" w:lineRule="atLeast"/>
        <w:rPr>
          <w:b/>
          <w:bCs/>
          <w:color w:val="666666"/>
        </w:rPr>
      </w:pPr>
      <w:r w:rsidRPr="00EB07EB">
        <w:rPr>
          <w:b/>
          <w:bCs/>
          <w:color w:val="666666"/>
        </w:rPr>
        <w:t>Postbus 90170</w:t>
      </w:r>
    </w:p>
    <w:p w14:paraId="22F0E4C5" w14:textId="77777777" w:rsidR="00EB07EB" w:rsidRPr="00EB07EB" w:rsidRDefault="00EB07EB" w:rsidP="00EB07EB">
      <w:pPr>
        <w:pStyle w:val="NormalWeb"/>
        <w:shd w:val="clear" w:color="auto" w:fill="FFFFFF"/>
        <w:spacing w:before="0" w:beforeAutospacing="0" w:after="0" w:afterAutospacing="0" w:line="270" w:lineRule="atLeast"/>
        <w:rPr>
          <w:b/>
          <w:bCs/>
          <w:color w:val="666666"/>
        </w:rPr>
      </w:pPr>
      <w:r w:rsidRPr="00EB07EB">
        <w:rPr>
          <w:b/>
          <w:bCs/>
          <w:color w:val="666666"/>
        </w:rPr>
        <w:t>5000 LM TILBURG</w:t>
      </w:r>
    </w:p>
    <w:p w14:paraId="3283F9CA" w14:textId="77777777" w:rsidR="00941469" w:rsidRPr="00EB07EB" w:rsidRDefault="00941469" w:rsidP="00A50182">
      <w:pPr>
        <w:rPr>
          <w:lang w:val="en-NL"/>
        </w:rPr>
      </w:pPr>
    </w:p>
    <w:p w14:paraId="3283F9CE" w14:textId="77777777" w:rsidR="00941469" w:rsidRDefault="00941469" w:rsidP="00A50182">
      <w:pPr>
        <w:rPr>
          <w:lang w:val="nl-NL"/>
        </w:rPr>
      </w:pPr>
    </w:p>
    <w:p w14:paraId="3283F9CF" w14:textId="77CF5167" w:rsidR="00BD5782" w:rsidRDefault="00BD5782" w:rsidP="00A50182">
      <w:pPr>
        <w:rPr>
          <w:lang w:val="nl-NL"/>
        </w:rPr>
      </w:pPr>
      <w:r>
        <w:rPr>
          <w:lang w:val="nl-NL"/>
        </w:rPr>
        <w:t>Per mail/</w:t>
      </w:r>
      <w:r w:rsidR="009B7EE1">
        <w:rPr>
          <w:lang w:val="nl-NL"/>
        </w:rPr>
        <w:t xml:space="preserve"> </w:t>
      </w:r>
      <w:r>
        <w:rPr>
          <w:lang w:val="nl-NL"/>
        </w:rPr>
        <w:t xml:space="preserve">pdf is ook mogelijk. Stuur het formulier </w:t>
      </w:r>
      <w:r w:rsidR="00777857">
        <w:rPr>
          <w:lang w:val="nl-NL"/>
        </w:rPr>
        <w:t xml:space="preserve">(en vragenlijst) </w:t>
      </w:r>
      <w:r>
        <w:rPr>
          <w:lang w:val="nl-NL"/>
        </w:rPr>
        <w:t>n</w:t>
      </w:r>
      <w:r w:rsidR="00777857">
        <w:rPr>
          <w:lang w:val="nl-NL"/>
        </w:rPr>
        <w:t xml:space="preserve">aar: </w:t>
      </w:r>
      <w:hyperlink r:id="rId11" w:history="1">
        <w:r w:rsidR="00EB07EB" w:rsidRPr="00A02BA2">
          <w:rPr>
            <w:rStyle w:val="Hyperlink"/>
            <w:lang w:val="nl-NL"/>
          </w:rPr>
          <w:t>pensioenfondsatos@achmea.nl</w:t>
        </w:r>
      </w:hyperlink>
    </w:p>
    <w:p w14:paraId="3283F9D0" w14:textId="77777777" w:rsidR="00A05EF2" w:rsidRDefault="00A05EF2" w:rsidP="00A05EF2">
      <w:pPr>
        <w:rPr>
          <w:b/>
          <w:color w:val="FF0000"/>
          <w:lang w:val="nl-NL"/>
        </w:rPr>
      </w:pPr>
    </w:p>
    <w:p w14:paraId="3283F9D1" w14:textId="77777777" w:rsidR="00A05EF2" w:rsidRPr="00755B97" w:rsidRDefault="00A05EF2" w:rsidP="00A05EF2">
      <w:pPr>
        <w:rPr>
          <w:lang w:val="nl-NL"/>
        </w:rPr>
      </w:pPr>
      <w:r w:rsidRPr="003B1584">
        <w:rPr>
          <w:b/>
          <w:color w:val="FF0000"/>
          <w:lang w:val="nl-NL"/>
        </w:rPr>
        <w:t>TOELICHTING BELEGGINGSPROFIEL</w:t>
      </w:r>
    </w:p>
    <w:p w14:paraId="3283F9D2" w14:textId="77777777" w:rsidR="00A05EF2" w:rsidRDefault="00A05EF2" w:rsidP="00A05EF2">
      <w:pPr>
        <w:rPr>
          <w:lang w:val="nl-NL"/>
        </w:rPr>
      </w:pPr>
      <w:r w:rsidRPr="00B555A9">
        <w:rPr>
          <w:lang w:val="nl-NL"/>
        </w:rPr>
        <w:t xml:space="preserve">Iedere werknemer </w:t>
      </w:r>
      <w:r>
        <w:rPr>
          <w:lang w:val="nl-NL"/>
        </w:rPr>
        <w:t>is</w:t>
      </w:r>
      <w:r w:rsidRPr="00B555A9">
        <w:rPr>
          <w:lang w:val="nl-NL"/>
        </w:rPr>
        <w:t xml:space="preserve"> standa</w:t>
      </w:r>
      <w:r>
        <w:rPr>
          <w:lang w:val="nl-NL"/>
        </w:rPr>
        <w:t>a</w:t>
      </w:r>
      <w:r w:rsidRPr="00B555A9">
        <w:rPr>
          <w:lang w:val="nl-NL"/>
        </w:rPr>
        <w:t xml:space="preserve">rd </w:t>
      </w:r>
      <w:r>
        <w:rPr>
          <w:lang w:val="nl-NL"/>
        </w:rPr>
        <w:t xml:space="preserve">gestart </w:t>
      </w:r>
      <w:r w:rsidRPr="00B555A9">
        <w:rPr>
          <w:lang w:val="nl-NL"/>
        </w:rPr>
        <w:t xml:space="preserve">in het Life Cycle </w:t>
      </w:r>
      <w:r w:rsidR="00273E84">
        <w:rPr>
          <w:lang w:val="nl-NL"/>
        </w:rPr>
        <w:t>beleggings</w:t>
      </w:r>
      <w:r w:rsidRPr="00B555A9">
        <w:rPr>
          <w:lang w:val="nl-NL"/>
        </w:rPr>
        <w:t>profi</w:t>
      </w:r>
      <w:r>
        <w:rPr>
          <w:lang w:val="nl-NL"/>
        </w:rPr>
        <w:t>el</w:t>
      </w:r>
      <w:r w:rsidRPr="00B555A9">
        <w:rPr>
          <w:lang w:val="nl-NL"/>
        </w:rPr>
        <w:t xml:space="preserve">. </w:t>
      </w:r>
    </w:p>
    <w:p w14:paraId="3283F9D3" w14:textId="77777777" w:rsidR="00A05EF2" w:rsidRDefault="00A05EF2" w:rsidP="00A05EF2">
      <w:pPr>
        <w:rPr>
          <w:lang w:val="nl-NL"/>
        </w:rPr>
      </w:pPr>
      <w:r w:rsidRPr="00A05EF2">
        <w:rPr>
          <w:lang w:val="nl-NL"/>
        </w:rPr>
        <w:t>Indien je overweegt om op jouw pensioendatum een variabele</w:t>
      </w:r>
      <w:r>
        <w:rPr>
          <w:lang w:val="nl-NL"/>
        </w:rPr>
        <w:t xml:space="preserve"> pensioenuitkering aan te kopen bij een </w:t>
      </w:r>
      <w:r w:rsidRPr="00A05EF2">
        <w:rPr>
          <w:lang w:val="nl-NL"/>
        </w:rPr>
        <w:t>andere pensioenuitvoerder dan kies je voor het beleggingsprofiel Life Cyc</w:t>
      </w:r>
      <w:r>
        <w:rPr>
          <w:lang w:val="nl-NL"/>
        </w:rPr>
        <w:t xml:space="preserve">le Doorbeleggen. </w:t>
      </w:r>
      <w:r w:rsidRPr="00A05EF2">
        <w:rPr>
          <w:lang w:val="nl-NL"/>
        </w:rPr>
        <w:t>Op het moment dat de waarde van je kapita</w:t>
      </w:r>
      <w:r>
        <w:rPr>
          <w:lang w:val="nl-NL"/>
        </w:rPr>
        <w:t xml:space="preserve">al binnen de Beschikbare Premieregeling € 2.270 of meer </w:t>
      </w:r>
      <w:r w:rsidRPr="00A05EF2">
        <w:rPr>
          <w:lang w:val="nl-NL"/>
        </w:rPr>
        <w:t xml:space="preserve">bedraagt heb je het recht om </w:t>
      </w:r>
      <w:r>
        <w:rPr>
          <w:lang w:val="nl-NL"/>
        </w:rPr>
        <w:t xml:space="preserve">voor het beleggingsprofiel Self </w:t>
      </w:r>
      <w:r w:rsidRPr="00A05EF2">
        <w:rPr>
          <w:lang w:val="nl-NL"/>
        </w:rPr>
        <w:t>Select te k</w:t>
      </w:r>
      <w:r>
        <w:rPr>
          <w:lang w:val="nl-NL"/>
        </w:rPr>
        <w:t xml:space="preserve">iezen. In het beleggingsprofiel </w:t>
      </w:r>
      <w:r w:rsidRPr="00A05EF2">
        <w:rPr>
          <w:lang w:val="nl-NL"/>
        </w:rPr>
        <w:t>Self Select bepaal je zelf hoe je het kapitaal wordt verdeeld over de beleggingsfondsen.</w:t>
      </w:r>
    </w:p>
    <w:p w14:paraId="3283F9D4" w14:textId="77777777" w:rsidR="00A05EF2" w:rsidRDefault="00A05EF2" w:rsidP="00A05EF2">
      <w:pPr>
        <w:rPr>
          <w:lang w:val="nl-NL"/>
        </w:rPr>
      </w:pPr>
    </w:p>
    <w:p w14:paraId="3283F9D5" w14:textId="77777777" w:rsidR="00A05EF2" w:rsidRPr="00A05EF2" w:rsidRDefault="00A05EF2" w:rsidP="00A05EF2">
      <w:pPr>
        <w:rPr>
          <w:b/>
          <w:color w:val="FF0000"/>
          <w:lang w:val="nl-NL"/>
        </w:rPr>
      </w:pPr>
      <w:r w:rsidRPr="00A05EF2">
        <w:rPr>
          <w:b/>
          <w:color w:val="FF0000"/>
          <w:lang w:val="nl-NL"/>
        </w:rPr>
        <w:t>HOE BEPAAL IK MIJN BELEGGINGSPROFIEL?</w:t>
      </w:r>
    </w:p>
    <w:p w14:paraId="3283F9D6" w14:textId="77777777" w:rsidR="004F3E0E" w:rsidRDefault="00A05EF2" w:rsidP="00A05EF2">
      <w:pPr>
        <w:rPr>
          <w:lang w:val="nl-NL"/>
        </w:rPr>
      </w:pPr>
      <w:r w:rsidRPr="00A05EF2">
        <w:rPr>
          <w:lang w:val="nl-NL"/>
        </w:rPr>
        <w:t xml:space="preserve">Voor welk profiel je kiest is afhankelijk van je persoonlijke </w:t>
      </w:r>
      <w:r>
        <w:rPr>
          <w:lang w:val="nl-NL"/>
        </w:rPr>
        <w:t xml:space="preserve">financiële omstandigheden en de mate </w:t>
      </w:r>
      <w:r w:rsidRPr="00A05EF2">
        <w:rPr>
          <w:lang w:val="nl-NL"/>
        </w:rPr>
        <w:t>waarin je betrokken wil zijn bij en kennis van het beleggingsproces. Als j</w:t>
      </w:r>
      <w:r>
        <w:rPr>
          <w:lang w:val="nl-NL"/>
        </w:rPr>
        <w:t xml:space="preserve">e zo weinig mogelijk energie in </w:t>
      </w:r>
      <w:r w:rsidRPr="00A05EF2">
        <w:rPr>
          <w:lang w:val="nl-NL"/>
        </w:rPr>
        <w:t>je regeling wil steken is het Life Cy</w:t>
      </w:r>
      <w:r>
        <w:rPr>
          <w:lang w:val="nl-NL"/>
        </w:rPr>
        <w:t xml:space="preserve">cle beleggingsprofiel het meest geschikt. Bij een wens van meer </w:t>
      </w:r>
      <w:r w:rsidRPr="00A05EF2">
        <w:rPr>
          <w:lang w:val="nl-NL"/>
        </w:rPr>
        <w:t>invloed, betrokkenheid en a</w:t>
      </w:r>
      <w:r>
        <w:rPr>
          <w:lang w:val="nl-NL"/>
        </w:rPr>
        <w:t xml:space="preserve">ls je voldoende kennis hebt kun </w:t>
      </w:r>
      <w:r w:rsidRPr="00A05EF2">
        <w:rPr>
          <w:lang w:val="nl-NL"/>
        </w:rPr>
        <w:t>je kiezen vo</w:t>
      </w:r>
      <w:r>
        <w:rPr>
          <w:lang w:val="nl-NL"/>
        </w:rPr>
        <w:t xml:space="preserve">or Self Select. Ook het meer of </w:t>
      </w:r>
      <w:r w:rsidRPr="00A05EF2">
        <w:rPr>
          <w:lang w:val="nl-NL"/>
        </w:rPr>
        <w:t>minder risico willen lop</w:t>
      </w:r>
      <w:r w:rsidR="004F3E0E">
        <w:rPr>
          <w:lang w:val="nl-NL"/>
        </w:rPr>
        <w:t>en speelt een rol bij de keuze.</w:t>
      </w:r>
    </w:p>
    <w:p w14:paraId="3283F9D7" w14:textId="77777777" w:rsidR="00A05EF2" w:rsidRDefault="00A05EF2" w:rsidP="00A05EF2">
      <w:pPr>
        <w:rPr>
          <w:lang w:val="nl-NL"/>
        </w:rPr>
      </w:pPr>
      <w:r w:rsidRPr="00A05EF2">
        <w:rPr>
          <w:lang w:val="nl-NL"/>
        </w:rPr>
        <w:t>Overweeg je t.z.t een variabele pensioe</w:t>
      </w:r>
      <w:r>
        <w:rPr>
          <w:lang w:val="nl-NL"/>
        </w:rPr>
        <w:t xml:space="preserve">nuitkering aan te kopen bij een pensioenuitvoerder die dit </w:t>
      </w:r>
      <w:r w:rsidRPr="00A05EF2">
        <w:rPr>
          <w:lang w:val="nl-NL"/>
        </w:rPr>
        <w:t>aanbiedt, dan kun je hierop voorsor</w:t>
      </w:r>
      <w:r>
        <w:rPr>
          <w:lang w:val="nl-NL"/>
        </w:rPr>
        <w:t xml:space="preserve">teren door over te stappen naar </w:t>
      </w:r>
      <w:r w:rsidRPr="00A05EF2">
        <w:rPr>
          <w:lang w:val="nl-NL"/>
        </w:rPr>
        <w:t>h</w:t>
      </w:r>
      <w:r>
        <w:rPr>
          <w:lang w:val="nl-NL"/>
        </w:rPr>
        <w:t xml:space="preserve">et beleggingsprofiel Life Cycle </w:t>
      </w:r>
      <w:r w:rsidRPr="00A05EF2">
        <w:rPr>
          <w:lang w:val="nl-NL"/>
        </w:rPr>
        <w:t>Doorbeleggen.</w:t>
      </w:r>
    </w:p>
    <w:p w14:paraId="3283F9D8" w14:textId="77777777" w:rsidR="007A40E8" w:rsidRDefault="007A40E8" w:rsidP="00A50182">
      <w:pPr>
        <w:rPr>
          <w:lang w:val="nl-NL"/>
        </w:rPr>
      </w:pPr>
    </w:p>
    <w:p w14:paraId="3283F9D9" w14:textId="77777777" w:rsidR="00333087" w:rsidRPr="00333087" w:rsidRDefault="00333087" w:rsidP="00333087">
      <w:pPr>
        <w:rPr>
          <w:b/>
          <w:color w:val="FF0000"/>
          <w:lang w:val="nl-NL"/>
        </w:rPr>
      </w:pPr>
      <w:r w:rsidRPr="00333087">
        <w:rPr>
          <w:b/>
          <w:color w:val="FF0000"/>
          <w:lang w:val="nl-NL"/>
        </w:rPr>
        <w:t>ALS IK NU VOOR EEN BELEGGINGSPROFIEL KIES, HOELANG ZIT IK DAAR DAN AAN VAST?</w:t>
      </w:r>
    </w:p>
    <w:p w14:paraId="3283F9DA" w14:textId="77777777" w:rsidR="00333087" w:rsidRDefault="00333087" w:rsidP="00333087">
      <w:pPr>
        <w:rPr>
          <w:lang w:val="nl-NL"/>
        </w:rPr>
      </w:pPr>
      <w:r w:rsidRPr="00333087">
        <w:rPr>
          <w:lang w:val="nl-NL"/>
        </w:rPr>
        <w:t xml:space="preserve">Eens per kalenderjaar kun je overstappen van Life Cycle </w:t>
      </w:r>
      <w:r>
        <w:rPr>
          <w:lang w:val="nl-NL"/>
        </w:rPr>
        <w:t xml:space="preserve">naar Life Cycle Doorbeleggen of Self Select of </w:t>
      </w:r>
      <w:r w:rsidRPr="00333087">
        <w:rPr>
          <w:lang w:val="nl-NL"/>
        </w:rPr>
        <w:t>andersom. Binnen Self Select is veran</w:t>
      </w:r>
      <w:r>
        <w:rPr>
          <w:lang w:val="nl-NL"/>
        </w:rPr>
        <w:t xml:space="preserve">dering van de verdeling over de </w:t>
      </w:r>
      <w:r w:rsidRPr="00333087">
        <w:rPr>
          <w:lang w:val="nl-NL"/>
        </w:rPr>
        <w:t>belegging</w:t>
      </w:r>
      <w:r>
        <w:rPr>
          <w:lang w:val="nl-NL"/>
        </w:rPr>
        <w:t xml:space="preserve">sfondsen eens per </w:t>
      </w:r>
      <w:r w:rsidRPr="00333087">
        <w:rPr>
          <w:lang w:val="nl-NL"/>
        </w:rPr>
        <w:t>kwartaal mogelijk op ieder gewenst tijdstip. Aan het switchen zijn wel kosten verbonden.</w:t>
      </w:r>
    </w:p>
    <w:p w14:paraId="3283F9DB" w14:textId="77777777" w:rsidR="00941469" w:rsidRPr="00941469" w:rsidRDefault="00941469" w:rsidP="00A50182">
      <w:pPr>
        <w:rPr>
          <w:color w:val="FF0000"/>
          <w:sz w:val="20"/>
          <w:szCs w:val="20"/>
          <w:lang w:val="nl-NL"/>
        </w:rPr>
      </w:pPr>
    </w:p>
    <w:p w14:paraId="3283F9DC" w14:textId="591ED472" w:rsidR="001E717A" w:rsidRPr="001E717A" w:rsidRDefault="001E717A" w:rsidP="001E717A">
      <w:pPr>
        <w:rPr>
          <w:color w:val="FF0000"/>
          <w:lang w:val="nl-NL"/>
        </w:rPr>
      </w:pPr>
      <w:r w:rsidRPr="001E717A">
        <w:rPr>
          <w:color w:val="FF0000"/>
          <w:lang w:val="nl-NL"/>
        </w:rPr>
        <w:t xml:space="preserve">LET OP! </w:t>
      </w:r>
      <w:r w:rsidRPr="001E717A">
        <w:rPr>
          <w:i/>
          <w:color w:val="FF0000"/>
          <w:lang w:val="nl-NL"/>
        </w:rPr>
        <w:t>Bij het ontbreken van de vragenlijst risicoprofiel kunnen wij je profielswitch naar</w:t>
      </w:r>
      <w:r w:rsidR="002F785B" w:rsidRPr="00743449">
        <w:rPr>
          <w:lang w:val="nl-NL"/>
        </w:rPr>
        <w:t xml:space="preserve"> </w:t>
      </w:r>
      <w:r w:rsidR="002F785B" w:rsidRPr="002F785B">
        <w:rPr>
          <w:i/>
          <w:color w:val="FF0000"/>
          <w:lang w:val="nl-NL"/>
        </w:rPr>
        <w:t>Life Cycle Doorbeleggen</w:t>
      </w:r>
      <w:r w:rsidR="002F785B">
        <w:rPr>
          <w:i/>
          <w:color w:val="FF0000"/>
          <w:lang w:val="nl-NL"/>
        </w:rPr>
        <w:t>,</w:t>
      </w:r>
      <w:r w:rsidRPr="001E717A">
        <w:rPr>
          <w:i/>
          <w:color w:val="FF0000"/>
          <w:lang w:val="nl-NL"/>
        </w:rPr>
        <w:t xml:space="preserve"> Self Select of wijziging van de verdeling in Self Select niet uitvoeren (download de vragenlijst bij beleggingsprofiel Self Select).</w:t>
      </w:r>
    </w:p>
    <w:p w14:paraId="3283F9DD" w14:textId="77777777" w:rsidR="001E717A" w:rsidRPr="001E717A" w:rsidRDefault="001E717A" w:rsidP="001E717A">
      <w:pPr>
        <w:rPr>
          <w:lang w:val="nl-NL"/>
        </w:rPr>
      </w:pPr>
    </w:p>
    <w:p w14:paraId="3283F9DE" w14:textId="77777777" w:rsidR="001E717A" w:rsidRPr="00815BEB" w:rsidRDefault="001E717A" w:rsidP="001E717A">
      <w:pPr>
        <w:rPr>
          <w:i/>
          <w:lang w:val="nl-NL"/>
        </w:rPr>
      </w:pPr>
      <w:r w:rsidRPr="00815BEB">
        <w:rPr>
          <w:i/>
          <w:lang w:val="nl-NL"/>
        </w:rPr>
        <w:t>De wijzigingen van de beleggingsprofielen worden 1 x per week op dinsdag uitgevoerd.</w:t>
      </w:r>
    </w:p>
    <w:p w14:paraId="3283F9DF" w14:textId="77777777" w:rsidR="001E717A" w:rsidRPr="00815BEB" w:rsidRDefault="001E717A" w:rsidP="001E717A">
      <w:pPr>
        <w:rPr>
          <w:i/>
          <w:lang w:val="nl-NL"/>
        </w:rPr>
      </w:pPr>
      <w:r w:rsidRPr="00815BEB">
        <w:rPr>
          <w:i/>
          <w:lang w:val="nl-NL"/>
        </w:rPr>
        <w:t>Indien het formulier voor maandag 16.00 uur bij het pensi</w:t>
      </w:r>
      <w:r w:rsidR="007E71DD" w:rsidRPr="00815BEB">
        <w:rPr>
          <w:i/>
          <w:lang w:val="nl-NL"/>
        </w:rPr>
        <w:t xml:space="preserve">oenfonds is ontvangen, wordt de </w:t>
      </w:r>
      <w:r w:rsidRPr="00815BEB">
        <w:rPr>
          <w:i/>
          <w:lang w:val="nl-NL"/>
        </w:rPr>
        <w:t>oversta</w:t>
      </w:r>
      <w:r w:rsidR="007E71DD" w:rsidRPr="00815BEB">
        <w:rPr>
          <w:i/>
          <w:lang w:val="nl-NL"/>
        </w:rPr>
        <w:t xml:space="preserve">p </w:t>
      </w:r>
      <w:r w:rsidRPr="00815BEB">
        <w:rPr>
          <w:i/>
          <w:lang w:val="nl-NL"/>
        </w:rPr>
        <w:t>direct op dinsdag uitgevoerd,</w:t>
      </w:r>
    </w:p>
    <w:p w14:paraId="3283F9E0" w14:textId="77777777" w:rsidR="001E717A" w:rsidRPr="00815BEB" w:rsidRDefault="001E717A" w:rsidP="001E717A">
      <w:pPr>
        <w:rPr>
          <w:i/>
          <w:lang w:val="nl-NL"/>
        </w:rPr>
      </w:pPr>
      <w:r w:rsidRPr="00815BEB">
        <w:rPr>
          <w:i/>
          <w:lang w:val="nl-NL"/>
        </w:rPr>
        <w:t>Houd er rekening mee dat op maandag in Nederland geen post wordt bezorgd!</w:t>
      </w:r>
    </w:p>
    <w:p w14:paraId="3283F9E1" w14:textId="77777777" w:rsidR="001E717A" w:rsidRPr="00815BEB" w:rsidRDefault="001E717A" w:rsidP="001E717A">
      <w:pPr>
        <w:rPr>
          <w:i/>
          <w:lang w:val="nl-NL"/>
        </w:rPr>
      </w:pPr>
      <w:r w:rsidRPr="00815BEB">
        <w:rPr>
          <w:i/>
          <w:lang w:val="nl-NL"/>
        </w:rPr>
        <w:t>Komt het formulier later binnen, dan wordt de wijziging op dinsdag van de daarop volgende week</w:t>
      </w:r>
      <w:r w:rsidR="007E71DD" w:rsidRPr="00815BEB">
        <w:rPr>
          <w:i/>
          <w:lang w:val="nl-NL"/>
        </w:rPr>
        <w:t xml:space="preserve"> u</w:t>
      </w:r>
      <w:r w:rsidRPr="00815BEB">
        <w:rPr>
          <w:i/>
          <w:lang w:val="nl-NL"/>
        </w:rPr>
        <w:t>itgevoerd</w:t>
      </w:r>
      <w:r w:rsidR="007E71DD" w:rsidRPr="00815BEB">
        <w:rPr>
          <w:i/>
          <w:lang w:val="nl-NL"/>
        </w:rPr>
        <w:t>.</w:t>
      </w:r>
    </w:p>
    <w:sectPr w:rsidR="001E717A" w:rsidRPr="00815BEB" w:rsidSect="001168DE">
      <w:headerReference w:type="default" r:id="rId12"/>
      <w:footerReference w:type="default" r:id="rId13"/>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F9E4" w14:textId="77777777" w:rsidR="00796243" w:rsidRDefault="00796243" w:rsidP="00796243">
      <w:r>
        <w:separator/>
      </w:r>
    </w:p>
  </w:endnote>
  <w:endnote w:type="continuationSeparator" w:id="0">
    <w:p w14:paraId="3283F9E5" w14:textId="77777777" w:rsidR="00796243" w:rsidRDefault="00796243" w:rsidP="0079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48765"/>
      <w:docPartObj>
        <w:docPartGallery w:val="Page Numbers (Bottom of Page)"/>
        <w:docPartUnique/>
      </w:docPartObj>
    </w:sdtPr>
    <w:sdtEndPr/>
    <w:sdtContent>
      <w:sdt>
        <w:sdtPr>
          <w:id w:val="-1769616900"/>
          <w:docPartObj>
            <w:docPartGallery w:val="Page Numbers (Top of Page)"/>
            <w:docPartUnique/>
          </w:docPartObj>
        </w:sdtPr>
        <w:sdtEndPr/>
        <w:sdtContent>
          <w:p w14:paraId="3283F9EB" w14:textId="77777777" w:rsidR="00573221" w:rsidRDefault="00573221">
            <w:pPr>
              <w:pStyle w:val="Footer"/>
              <w:jc w:val="right"/>
            </w:pPr>
            <w:r w:rsidRPr="004D0C59">
              <w:rPr>
                <w:lang w:val="nl-NL"/>
              </w:rPr>
              <w:t>Pagina</w:t>
            </w:r>
            <w:r>
              <w:t xml:space="preserv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van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283F9EC" w14:textId="77777777" w:rsidR="00573221" w:rsidRDefault="005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F9E2" w14:textId="77777777" w:rsidR="00796243" w:rsidRDefault="00796243" w:rsidP="00796243">
      <w:r>
        <w:separator/>
      </w:r>
    </w:p>
  </w:footnote>
  <w:footnote w:type="continuationSeparator" w:id="0">
    <w:p w14:paraId="3283F9E3" w14:textId="77777777" w:rsidR="00796243" w:rsidRDefault="00796243" w:rsidP="0079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tblCellMar>
        <w:left w:w="0" w:type="dxa"/>
        <w:right w:w="0" w:type="dxa"/>
      </w:tblCellMar>
      <w:tblLook w:val="04A0" w:firstRow="1" w:lastRow="0" w:firstColumn="1" w:lastColumn="0" w:noHBand="0" w:noVBand="1"/>
    </w:tblPr>
    <w:tblGrid>
      <w:gridCol w:w="3116"/>
      <w:gridCol w:w="3117"/>
      <w:gridCol w:w="3115"/>
    </w:tblGrid>
    <w:tr w:rsidR="00796243" w14:paraId="3283F9E9" w14:textId="77777777" w:rsidTr="004D0C59">
      <w:trPr>
        <w:trHeight w:val="617"/>
      </w:trPr>
      <w:tc>
        <w:tcPr>
          <w:tcW w:w="1667" w:type="pct"/>
        </w:tcPr>
        <w:p w14:paraId="3283F9E6" w14:textId="77777777" w:rsidR="00796243" w:rsidRDefault="00796243">
          <w:pPr>
            <w:pStyle w:val="Header"/>
            <w:rPr>
              <w:color w:val="4F81BD" w:themeColor="accent1"/>
            </w:rPr>
          </w:pPr>
        </w:p>
      </w:tc>
      <w:tc>
        <w:tcPr>
          <w:tcW w:w="1667" w:type="pct"/>
        </w:tcPr>
        <w:p w14:paraId="3283F9E7" w14:textId="77777777" w:rsidR="00796243" w:rsidRDefault="00796243">
          <w:pPr>
            <w:pStyle w:val="Header"/>
            <w:jc w:val="center"/>
            <w:rPr>
              <w:color w:val="4F81BD" w:themeColor="accent1"/>
            </w:rPr>
          </w:pPr>
        </w:p>
      </w:tc>
      <w:tc>
        <w:tcPr>
          <w:tcW w:w="1666" w:type="pct"/>
        </w:tcPr>
        <w:p w14:paraId="3283F9E8" w14:textId="77777777" w:rsidR="00796243" w:rsidRDefault="004D0C59">
          <w:pPr>
            <w:pStyle w:val="Header"/>
            <w:jc w:val="right"/>
            <w:rPr>
              <w:color w:val="4F81BD" w:themeColor="accent1"/>
            </w:rPr>
          </w:pPr>
          <w:r>
            <w:rPr>
              <w:noProof/>
              <w:color w:val="4F81BD" w:themeColor="accent1"/>
            </w:rPr>
            <w:drawing>
              <wp:inline distT="0" distB="0" distL="0" distR="0" wp14:anchorId="3283F9ED" wp14:editId="3283F9EE">
                <wp:extent cx="1286510" cy="62801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28015"/>
                        </a:xfrm>
                        <a:prstGeom prst="rect">
                          <a:avLst/>
                        </a:prstGeom>
                        <a:noFill/>
                      </pic:spPr>
                    </pic:pic>
                  </a:graphicData>
                </a:graphic>
              </wp:inline>
            </w:drawing>
          </w:r>
        </w:p>
      </w:tc>
    </w:tr>
  </w:tbl>
  <w:p w14:paraId="3283F9EA" w14:textId="77777777" w:rsidR="00796243" w:rsidRDefault="0079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0C3"/>
    <w:multiLevelType w:val="hybridMultilevel"/>
    <w:tmpl w:val="B382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158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15"/>
    <w:rsid w:val="00015F42"/>
    <w:rsid w:val="000170F2"/>
    <w:rsid w:val="000F5A94"/>
    <w:rsid w:val="001168DE"/>
    <w:rsid w:val="001D3692"/>
    <w:rsid w:val="001E717A"/>
    <w:rsid w:val="002012EF"/>
    <w:rsid w:val="00216C34"/>
    <w:rsid w:val="00273E84"/>
    <w:rsid w:val="00282920"/>
    <w:rsid w:val="002D0855"/>
    <w:rsid w:val="002F785B"/>
    <w:rsid w:val="00327D1E"/>
    <w:rsid w:val="00333087"/>
    <w:rsid w:val="003E3B4D"/>
    <w:rsid w:val="003F4912"/>
    <w:rsid w:val="00403B15"/>
    <w:rsid w:val="00406A6E"/>
    <w:rsid w:val="00434A45"/>
    <w:rsid w:val="00452374"/>
    <w:rsid w:val="004A3D8C"/>
    <w:rsid w:val="004D0C59"/>
    <w:rsid w:val="004D6B59"/>
    <w:rsid w:val="004F3E0E"/>
    <w:rsid w:val="00573221"/>
    <w:rsid w:val="005965AD"/>
    <w:rsid w:val="005A0E38"/>
    <w:rsid w:val="005C794F"/>
    <w:rsid w:val="00640988"/>
    <w:rsid w:val="00641E01"/>
    <w:rsid w:val="00654DC7"/>
    <w:rsid w:val="00673FBA"/>
    <w:rsid w:val="006E79B5"/>
    <w:rsid w:val="00743449"/>
    <w:rsid w:val="00760F3D"/>
    <w:rsid w:val="00761C10"/>
    <w:rsid w:val="00777857"/>
    <w:rsid w:val="00782DE9"/>
    <w:rsid w:val="00796243"/>
    <w:rsid w:val="007A40E8"/>
    <w:rsid w:val="007D0D5F"/>
    <w:rsid w:val="007E71DD"/>
    <w:rsid w:val="00815BEB"/>
    <w:rsid w:val="00941469"/>
    <w:rsid w:val="00960ABE"/>
    <w:rsid w:val="009B7EE1"/>
    <w:rsid w:val="00A05EF2"/>
    <w:rsid w:val="00A477EE"/>
    <w:rsid w:val="00A50182"/>
    <w:rsid w:val="00AB6A21"/>
    <w:rsid w:val="00AC19ED"/>
    <w:rsid w:val="00AC534E"/>
    <w:rsid w:val="00B819FE"/>
    <w:rsid w:val="00BD2403"/>
    <w:rsid w:val="00BD5782"/>
    <w:rsid w:val="00C13396"/>
    <w:rsid w:val="00C80BEC"/>
    <w:rsid w:val="00C925CF"/>
    <w:rsid w:val="00CF0BFE"/>
    <w:rsid w:val="00D526DC"/>
    <w:rsid w:val="00E27E08"/>
    <w:rsid w:val="00E73867"/>
    <w:rsid w:val="00EA41C7"/>
    <w:rsid w:val="00EB07EB"/>
    <w:rsid w:val="00EC4A53"/>
    <w:rsid w:val="00ED60F6"/>
    <w:rsid w:val="00F12C37"/>
    <w:rsid w:val="00F14B9D"/>
    <w:rsid w:val="00F32F36"/>
    <w:rsid w:val="00F60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83F99C"/>
  <w15:docId w15:val="{AA0175DA-E7D3-41EF-97C3-D0DDE3C0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18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0E8"/>
    <w:rPr>
      <w:color w:val="0000FF" w:themeColor="hyperlink"/>
      <w:u w:val="single"/>
    </w:rPr>
  </w:style>
  <w:style w:type="paragraph" w:styleId="BalloonText">
    <w:name w:val="Balloon Text"/>
    <w:basedOn w:val="Normal"/>
    <w:link w:val="BalloonTextChar"/>
    <w:uiPriority w:val="99"/>
    <w:semiHidden/>
    <w:unhideWhenUsed/>
    <w:rsid w:val="00C13396"/>
    <w:rPr>
      <w:rFonts w:ascii="Tahoma" w:hAnsi="Tahoma" w:cs="Tahoma"/>
      <w:sz w:val="16"/>
      <w:szCs w:val="16"/>
    </w:rPr>
  </w:style>
  <w:style w:type="character" w:customStyle="1" w:styleId="BalloonTextChar">
    <w:name w:val="Balloon Text Char"/>
    <w:basedOn w:val="DefaultParagraphFont"/>
    <w:link w:val="BalloonText"/>
    <w:uiPriority w:val="99"/>
    <w:semiHidden/>
    <w:rsid w:val="00C13396"/>
    <w:rPr>
      <w:rFonts w:ascii="Tahoma" w:eastAsia="Times New Roman" w:hAnsi="Tahoma" w:cs="Tahoma"/>
      <w:sz w:val="16"/>
      <w:szCs w:val="16"/>
      <w:lang w:val="en-US"/>
    </w:rPr>
  </w:style>
  <w:style w:type="paragraph" w:styleId="ListParagraph">
    <w:name w:val="List Paragraph"/>
    <w:basedOn w:val="Normal"/>
    <w:uiPriority w:val="34"/>
    <w:qFormat/>
    <w:rsid w:val="004D6B59"/>
    <w:pPr>
      <w:ind w:left="720"/>
      <w:contextualSpacing/>
    </w:pPr>
  </w:style>
  <w:style w:type="paragraph" w:styleId="Header">
    <w:name w:val="header"/>
    <w:basedOn w:val="Normal"/>
    <w:link w:val="HeaderChar"/>
    <w:uiPriority w:val="99"/>
    <w:unhideWhenUsed/>
    <w:rsid w:val="00796243"/>
    <w:pPr>
      <w:tabs>
        <w:tab w:val="center" w:pos="4536"/>
        <w:tab w:val="right" w:pos="9072"/>
      </w:tabs>
    </w:pPr>
  </w:style>
  <w:style w:type="character" w:customStyle="1" w:styleId="HeaderChar">
    <w:name w:val="Header Char"/>
    <w:basedOn w:val="DefaultParagraphFont"/>
    <w:link w:val="Header"/>
    <w:uiPriority w:val="99"/>
    <w:rsid w:val="007962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6243"/>
    <w:pPr>
      <w:tabs>
        <w:tab w:val="center" w:pos="4536"/>
        <w:tab w:val="right" w:pos="9072"/>
      </w:tabs>
    </w:pPr>
  </w:style>
  <w:style w:type="character" w:customStyle="1" w:styleId="FooterChar">
    <w:name w:val="Footer Char"/>
    <w:basedOn w:val="DefaultParagraphFont"/>
    <w:link w:val="Footer"/>
    <w:uiPriority w:val="99"/>
    <w:rsid w:val="00796243"/>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B07EB"/>
    <w:pPr>
      <w:spacing w:before="100" w:beforeAutospacing="1" w:after="100" w:afterAutospacing="1"/>
    </w:pPr>
    <w:rPr>
      <w:lang w:val="en-NL" w:eastAsia="en-NL"/>
    </w:rPr>
  </w:style>
  <w:style w:type="character" w:styleId="UnresolvedMention">
    <w:name w:val="Unresolved Mention"/>
    <w:basedOn w:val="DefaultParagraphFont"/>
    <w:uiPriority w:val="99"/>
    <w:semiHidden/>
    <w:unhideWhenUsed/>
    <w:rsid w:val="00EB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sioenfondsatos@achmea.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EFF4C1520244EB4C3201C622E6440" ma:contentTypeVersion="7" ma:contentTypeDescription="Create a new document." ma:contentTypeScope="" ma:versionID="99f8eeac229181275e5c80da38b02b30">
  <xsd:schema xmlns:xsd="http://www.w3.org/2001/XMLSchema" xmlns:xs="http://www.w3.org/2001/XMLSchema" xmlns:p="http://schemas.microsoft.com/office/2006/metadata/properties" xmlns:ns3="b4f7a89b-e7e7-41f2-b943-bc593eb2ce93" targetNamespace="http://schemas.microsoft.com/office/2006/metadata/properties" ma:root="true" ma:fieldsID="f5ce92e1690f8a384abea234f0f8e48f" ns3:_="">
    <xsd:import namespace="b4f7a89b-e7e7-41f2-b943-bc593eb2ce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7a89b-e7e7-41f2-b943-bc593eb2c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7EB2-5B45-41AE-BBD7-DAC3BFBB54A1}">
  <ds:schemaRefs>
    <ds:schemaRef ds:uri="http://purl.org/dc/elements/1.1/"/>
    <ds:schemaRef ds:uri="http://schemas.microsoft.com/office/2006/documentManagement/types"/>
    <ds:schemaRef ds:uri="http://purl.org/dc/terms/"/>
    <ds:schemaRef ds:uri="http://www.w3.org/XML/1998/namespace"/>
    <ds:schemaRef ds:uri="http://purl.org/dc/dcmitype/"/>
    <ds:schemaRef ds:uri="b4f7a89b-e7e7-41f2-b943-bc593eb2ce9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21E2F89-E800-43D2-BBEB-77C2791F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7a89b-e7e7-41f2-b943-bc593eb2c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BA370-4877-42BD-9576-3379B1723D24}">
  <ds:schemaRefs>
    <ds:schemaRef ds:uri="http://schemas.microsoft.com/sharepoint/v3/contenttype/forms"/>
  </ds:schemaRefs>
</ds:datastoreItem>
</file>

<file path=customXml/itemProps4.xml><?xml version="1.0" encoding="utf-8"?>
<ds:datastoreItem xmlns:ds="http://schemas.openxmlformats.org/officeDocument/2006/customXml" ds:itemID="{5A942C79-5C31-4F55-BEB1-6FDCC0B7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Atos Origin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Pensioenfonds Atos</dc:creator>
  <cp:lastModifiedBy>Gerard Koeman</cp:lastModifiedBy>
  <cp:revision>3</cp:revision>
  <cp:lastPrinted>2014-11-25T15:26:00Z</cp:lastPrinted>
  <dcterms:created xsi:type="dcterms:W3CDTF">2023-03-14T07:15:00Z</dcterms:created>
  <dcterms:modified xsi:type="dcterms:W3CDTF">2023-03-14T07:18:00Z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0x01010030AEFF4C1520244EB4C3201C622E6440</vt:lpwstr>
  </property>
  <property fmtid="{D5CDD505-2E9C-101B-9397-08002B2CF9AE}" pid="3" name="MSIP_Label_e463cba9-5f6c-478d-9329-7b2295e4e8ed_Enabled">
    <vt:lpwstr>true</vt:lpwstr>
  </property>
  <property fmtid="{D5CDD505-2E9C-101B-9397-08002B2CF9AE}" pid="4" name="MSIP_Label_e463cba9-5f6c-478d-9329-7b2295e4e8ed_SetDate">
    <vt:lpwstr>2023-03-14T07:15:13Z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bf6630fd-c542-4c43-a20f-ca99a845e98e</vt:lpwstr>
  </property>
  <property fmtid="{D5CDD505-2E9C-101B-9397-08002B2CF9AE}" pid="9" name="MSIP_Label_e463cba9-5f6c-478d-9329-7b2295e4e8ed_ContentBits">
    <vt:lpwstr>0</vt:lpwstr>
  </property>
</Properties>
</file>